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4506B" w14:textId="6722B473" w:rsidR="00176C6C" w:rsidRPr="00047760" w:rsidRDefault="00047760" w:rsidP="00047760">
      <w:pPr>
        <w:pStyle w:val="ListParagraph"/>
        <w:widowControl w:val="0"/>
        <w:numPr>
          <w:ilvl w:val="0"/>
          <w:numId w:val="3"/>
        </w:numPr>
        <w:autoSpaceDE w:val="0"/>
        <w:autoSpaceDN w:val="0"/>
        <w:adjustRightInd w:val="0"/>
        <w:spacing w:after="240"/>
        <w:ind w:left="0" w:firstLine="0"/>
        <w:jc w:val="both"/>
        <w:rPr>
          <w:rFonts w:asciiTheme="majorHAnsi" w:hAnsiTheme="majorHAnsi" w:cs="Times"/>
          <w:sz w:val="28"/>
          <w:szCs w:val="28"/>
        </w:rPr>
      </w:pPr>
      <w:r w:rsidRPr="00047760">
        <w:rPr>
          <w:rFonts w:asciiTheme="majorHAnsi" w:hAnsiTheme="majorHAnsi" w:cs="Times"/>
          <w:sz w:val="28"/>
          <w:szCs w:val="28"/>
        </w:rPr>
        <w:t>Natural Hazards Mitigation Association’s</w:t>
      </w:r>
    </w:p>
    <w:p w14:paraId="39719AE3" w14:textId="2ECDD0AD" w:rsidR="00047760" w:rsidRPr="00047760" w:rsidRDefault="00047760" w:rsidP="00047760">
      <w:pPr>
        <w:pStyle w:val="ListParagraph"/>
        <w:widowControl w:val="0"/>
        <w:numPr>
          <w:ilvl w:val="0"/>
          <w:numId w:val="3"/>
        </w:numPr>
        <w:autoSpaceDE w:val="0"/>
        <w:autoSpaceDN w:val="0"/>
        <w:adjustRightInd w:val="0"/>
        <w:spacing w:after="240"/>
        <w:ind w:left="0" w:firstLine="0"/>
        <w:jc w:val="both"/>
        <w:rPr>
          <w:rFonts w:asciiTheme="majorHAnsi" w:hAnsiTheme="majorHAnsi" w:cs="Times"/>
          <w:sz w:val="28"/>
          <w:szCs w:val="28"/>
        </w:rPr>
      </w:pPr>
      <w:r w:rsidRPr="00047760">
        <w:rPr>
          <w:rFonts w:asciiTheme="majorHAnsi" w:hAnsiTheme="majorHAnsi" w:cs="Times"/>
          <w:sz w:val="28"/>
          <w:szCs w:val="28"/>
        </w:rPr>
        <w:t>Resilient Neighbors Network</w:t>
      </w:r>
    </w:p>
    <w:p w14:paraId="28CB4F32" w14:textId="15F70555" w:rsidR="00047760" w:rsidRPr="00047760" w:rsidRDefault="00047760" w:rsidP="00047760">
      <w:pPr>
        <w:pStyle w:val="ListParagraph"/>
        <w:widowControl w:val="0"/>
        <w:numPr>
          <w:ilvl w:val="0"/>
          <w:numId w:val="3"/>
        </w:numPr>
        <w:pBdr>
          <w:bottom w:val="single" w:sz="4" w:space="1" w:color="auto"/>
        </w:pBdr>
        <w:autoSpaceDE w:val="0"/>
        <w:autoSpaceDN w:val="0"/>
        <w:adjustRightInd w:val="0"/>
        <w:spacing w:after="240"/>
        <w:ind w:left="0" w:firstLine="0"/>
        <w:jc w:val="both"/>
        <w:rPr>
          <w:rFonts w:asciiTheme="majorHAnsi" w:hAnsiTheme="majorHAnsi" w:cs="Times"/>
          <w:b/>
        </w:rPr>
      </w:pPr>
      <w:r w:rsidRPr="00047760">
        <w:rPr>
          <w:rFonts w:asciiTheme="majorHAnsi" w:hAnsiTheme="majorHAnsi" w:cs="Times"/>
          <w:b/>
          <w:sz w:val="28"/>
          <w:szCs w:val="28"/>
        </w:rPr>
        <w:t>Charter</w:t>
      </w:r>
    </w:p>
    <w:p w14:paraId="542E8603" w14:textId="77777777" w:rsidR="00047760" w:rsidRDefault="00047760" w:rsidP="00047760">
      <w:pPr>
        <w:pStyle w:val="ListParagraph"/>
        <w:widowControl w:val="0"/>
        <w:numPr>
          <w:ilvl w:val="0"/>
          <w:numId w:val="3"/>
        </w:numPr>
        <w:autoSpaceDE w:val="0"/>
        <w:autoSpaceDN w:val="0"/>
        <w:adjustRightInd w:val="0"/>
        <w:spacing w:after="240"/>
        <w:ind w:left="0" w:firstLine="0"/>
        <w:jc w:val="both"/>
        <w:rPr>
          <w:rFonts w:asciiTheme="majorHAnsi" w:hAnsiTheme="majorHAnsi" w:cs="Times"/>
        </w:rPr>
      </w:pPr>
    </w:p>
    <w:p w14:paraId="65880066" w14:textId="55D8F614" w:rsidR="00176C6C" w:rsidRDefault="00176C6C" w:rsidP="00047760">
      <w:pPr>
        <w:pStyle w:val="ListParagraph"/>
        <w:widowControl w:val="0"/>
        <w:numPr>
          <w:ilvl w:val="0"/>
          <w:numId w:val="3"/>
        </w:numPr>
        <w:autoSpaceDE w:val="0"/>
        <w:autoSpaceDN w:val="0"/>
        <w:adjustRightInd w:val="0"/>
        <w:ind w:left="0" w:firstLine="0"/>
        <w:jc w:val="both"/>
        <w:rPr>
          <w:rFonts w:asciiTheme="majorHAnsi" w:hAnsiTheme="majorHAnsi" w:cs="Times"/>
        </w:rPr>
      </w:pPr>
      <w:r w:rsidRPr="00047760">
        <w:rPr>
          <w:rFonts w:asciiTheme="majorHAnsi" w:hAnsiTheme="majorHAnsi" w:cs="Times"/>
        </w:rPr>
        <w:t>The Charter Agreement of RNN and NHMA will incorporate the following strategies:</w:t>
      </w:r>
    </w:p>
    <w:p w14:paraId="690B57F6" w14:textId="77777777" w:rsidR="00047760" w:rsidRPr="00047760" w:rsidRDefault="00047760" w:rsidP="00047760">
      <w:pPr>
        <w:pStyle w:val="ListParagraph"/>
        <w:rPr>
          <w:rFonts w:asciiTheme="majorHAnsi" w:hAnsiTheme="majorHAnsi" w:cs="Times"/>
        </w:rPr>
      </w:pPr>
    </w:p>
    <w:p w14:paraId="2D006902" w14:textId="77777777" w:rsidR="00047760" w:rsidRPr="00047760" w:rsidRDefault="00176C6C" w:rsidP="00047760">
      <w:pPr>
        <w:pStyle w:val="ListParagraph"/>
        <w:widowControl w:val="0"/>
        <w:numPr>
          <w:ilvl w:val="0"/>
          <w:numId w:val="3"/>
        </w:numPr>
        <w:autoSpaceDE w:val="0"/>
        <w:autoSpaceDN w:val="0"/>
        <w:adjustRightInd w:val="0"/>
        <w:ind w:left="0" w:firstLine="0"/>
        <w:jc w:val="both"/>
        <w:rPr>
          <w:rFonts w:asciiTheme="majorHAnsi" w:hAnsiTheme="majorHAnsi" w:cs="Times"/>
        </w:rPr>
      </w:pPr>
      <w:r w:rsidRPr="00047760">
        <w:rPr>
          <w:rFonts w:asciiTheme="majorHAnsi" w:hAnsiTheme="majorHAnsi" w:cs="Cambria"/>
          <w:b/>
        </w:rPr>
        <w:t>1.1: Refine RNN &amp; NHMA roles. Refine, Strengthen and Expand the NHMA Peer-to-Peer Disaster Risk Reduction Strategy.</w:t>
      </w:r>
      <w:r w:rsidRPr="00047760">
        <w:rPr>
          <w:rFonts w:asciiTheme="majorHAnsi" w:hAnsiTheme="majorHAnsi" w:cs="Cambria"/>
        </w:rPr>
        <w:t xml:space="preserve"> </w:t>
      </w:r>
      <w:r w:rsidRPr="00047760">
        <w:rPr>
          <w:rFonts w:ascii="MS Gothic" w:eastAsia="MS Gothic" w:hAnsi="MS Gothic" w:cs="MS Gothic" w:hint="eastAsia"/>
        </w:rPr>
        <w:t> </w:t>
      </w:r>
    </w:p>
    <w:p w14:paraId="03C93577" w14:textId="77777777" w:rsidR="00047760" w:rsidRPr="00047760" w:rsidRDefault="00047760" w:rsidP="00047760">
      <w:pPr>
        <w:pStyle w:val="ListParagraph"/>
        <w:rPr>
          <w:rFonts w:asciiTheme="majorHAnsi" w:hAnsiTheme="majorHAnsi" w:cs="Calibri"/>
        </w:rPr>
      </w:pPr>
    </w:p>
    <w:p w14:paraId="5DB46869" w14:textId="2A021585" w:rsidR="00047760" w:rsidRPr="00047760" w:rsidRDefault="00176C6C" w:rsidP="00047760">
      <w:pPr>
        <w:pStyle w:val="ListParagraph"/>
        <w:widowControl w:val="0"/>
        <w:numPr>
          <w:ilvl w:val="0"/>
          <w:numId w:val="3"/>
        </w:numPr>
        <w:autoSpaceDE w:val="0"/>
        <w:autoSpaceDN w:val="0"/>
        <w:adjustRightInd w:val="0"/>
        <w:ind w:left="0" w:firstLine="0"/>
        <w:jc w:val="both"/>
        <w:rPr>
          <w:rFonts w:asciiTheme="majorHAnsi" w:hAnsiTheme="majorHAnsi" w:cs="Times"/>
        </w:rPr>
      </w:pPr>
      <w:r w:rsidRPr="00047760">
        <w:rPr>
          <w:rFonts w:asciiTheme="majorHAnsi" w:hAnsiTheme="majorHAnsi" w:cs="Calibri"/>
        </w:rPr>
        <w:t>Assist “whole community partners” in making resilient investments in development and rebuilding by refining NHMA &amp; RNN roles in resilience advocacy and increasing peer-to</w:t>
      </w:r>
      <w:r w:rsidRPr="00047760">
        <w:rPr>
          <w:rFonts w:asciiTheme="majorHAnsi" w:hAnsiTheme="majorHAnsi" w:cs="Palatino Linotype"/>
        </w:rPr>
        <w:t>‐</w:t>
      </w:r>
      <w:r w:rsidRPr="00047760">
        <w:rPr>
          <w:rFonts w:asciiTheme="majorHAnsi" w:hAnsiTheme="majorHAnsi" w:cs="Calibri"/>
        </w:rPr>
        <w:t xml:space="preserve">peer communication channels to expand network concepts which emphasize support for the FEMA “Whole Community” &amp; “All Hazards” mitigation outreach and risk communication strategy. The RNN charter outlines a leadership structure and operational framework; with clearly identify roles, responsibilities and an implementation plan for local, grassroots involvement. </w:t>
      </w:r>
    </w:p>
    <w:p w14:paraId="5FE0A1F0" w14:textId="5BFD96C6" w:rsidR="00047760" w:rsidRDefault="00047760" w:rsidP="00047760">
      <w:pPr>
        <w:rPr>
          <w:rFonts w:asciiTheme="majorHAnsi" w:hAnsiTheme="majorHAnsi" w:cs="Times"/>
        </w:rPr>
      </w:pPr>
    </w:p>
    <w:p w14:paraId="2A8E2018" w14:textId="77777777" w:rsidR="00047760" w:rsidRPr="00047760" w:rsidRDefault="00047760" w:rsidP="00047760">
      <w:pPr>
        <w:rPr>
          <w:rFonts w:asciiTheme="majorHAnsi" w:hAnsiTheme="majorHAnsi" w:cs="Times"/>
        </w:rPr>
      </w:pPr>
    </w:p>
    <w:p w14:paraId="4A34DB22" w14:textId="77777777" w:rsidR="00047760" w:rsidRPr="00047760" w:rsidRDefault="00176C6C" w:rsidP="00047760">
      <w:pPr>
        <w:pStyle w:val="ListParagraph"/>
        <w:widowControl w:val="0"/>
        <w:numPr>
          <w:ilvl w:val="0"/>
          <w:numId w:val="3"/>
        </w:numPr>
        <w:autoSpaceDE w:val="0"/>
        <w:autoSpaceDN w:val="0"/>
        <w:adjustRightInd w:val="0"/>
        <w:ind w:left="0" w:firstLine="0"/>
        <w:jc w:val="both"/>
        <w:rPr>
          <w:rFonts w:asciiTheme="majorHAnsi" w:hAnsiTheme="majorHAnsi" w:cs="Times"/>
          <w:b/>
        </w:rPr>
      </w:pPr>
      <w:r w:rsidRPr="00047760">
        <w:rPr>
          <w:rFonts w:asciiTheme="majorHAnsi" w:hAnsiTheme="majorHAnsi" w:cs="Cambria"/>
          <w:b/>
        </w:rPr>
        <w:t xml:space="preserve">1.2: Enhance internal RNN communication. </w:t>
      </w:r>
      <w:r w:rsidRPr="00047760">
        <w:rPr>
          <w:rFonts w:asciiTheme="majorHAnsi" w:hAnsiTheme="majorHAnsi" w:cs="Calibri"/>
          <w:b/>
        </w:rPr>
        <w:t xml:space="preserve"> </w:t>
      </w:r>
    </w:p>
    <w:p w14:paraId="68C793FF" w14:textId="77777777" w:rsidR="00047760" w:rsidRPr="00047760" w:rsidRDefault="00047760" w:rsidP="00047760">
      <w:pPr>
        <w:pStyle w:val="ListParagraph"/>
        <w:rPr>
          <w:rFonts w:asciiTheme="majorHAnsi" w:hAnsiTheme="majorHAnsi" w:cs="Calibri"/>
        </w:rPr>
      </w:pPr>
    </w:p>
    <w:p w14:paraId="435224CF" w14:textId="114CCBD8" w:rsidR="00176C6C" w:rsidRPr="00047760" w:rsidRDefault="00176C6C" w:rsidP="00047760">
      <w:pPr>
        <w:pStyle w:val="ListParagraph"/>
        <w:widowControl w:val="0"/>
        <w:numPr>
          <w:ilvl w:val="0"/>
          <w:numId w:val="3"/>
        </w:numPr>
        <w:autoSpaceDE w:val="0"/>
        <w:autoSpaceDN w:val="0"/>
        <w:adjustRightInd w:val="0"/>
        <w:ind w:left="0" w:firstLine="0"/>
        <w:jc w:val="both"/>
        <w:rPr>
          <w:rFonts w:asciiTheme="majorHAnsi" w:hAnsiTheme="majorHAnsi" w:cs="Times"/>
        </w:rPr>
      </w:pPr>
      <w:r w:rsidRPr="00047760">
        <w:rPr>
          <w:rFonts w:asciiTheme="majorHAnsi" w:hAnsiTheme="majorHAnsi" w:cs="Calibri"/>
        </w:rPr>
        <w:t xml:space="preserve">Continue and expand regular communication opportunities among RNN members and other local communities, including conference calls that emphasize team building, learning and sharing. Explore feasibility of using other complementary internal communications such as development of an online workspace to enhance frequency of informal network interactions and sharing of resources; one- on-one peer learning exchanges to promote sharing of resilience efforts and site-specific examples. </w:t>
      </w:r>
    </w:p>
    <w:p w14:paraId="61A19F08" w14:textId="64BE30DE" w:rsidR="00047760" w:rsidRDefault="00047760" w:rsidP="00047760">
      <w:pPr>
        <w:widowControl w:val="0"/>
        <w:autoSpaceDE w:val="0"/>
        <w:autoSpaceDN w:val="0"/>
        <w:adjustRightInd w:val="0"/>
        <w:jc w:val="both"/>
        <w:rPr>
          <w:rFonts w:asciiTheme="majorHAnsi" w:hAnsiTheme="majorHAnsi" w:cs="Times"/>
        </w:rPr>
      </w:pPr>
    </w:p>
    <w:p w14:paraId="6F659C7F" w14:textId="77777777" w:rsidR="00047760" w:rsidRPr="00047760" w:rsidRDefault="00047760" w:rsidP="00047760">
      <w:pPr>
        <w:widowControl w:val="0"/>
        <w:autoSpaceDE w:val="0"/>
        <w:autoSpaceDN w:val="0"/>
        <w:adjustRightInd w:val="0"/>
        <w:jc w:val="both"/>
        <w:rPr>
          <w:rFonts w:asciiTheme="majorHAnsi" w:hAnsiTheme="majorHAnsi" w:cs="Times"/>
        </w:rPr>
      </w:pPr>
    </w:p>
    <w:p w14:paraId="0D0A7121" w14:textId="77777777" w:rsidR="00047760" w:rsidRPr="00047760" w:rsidRDefault="00176C6C" w:rsidP="00047760">
      <w:pPr>
        <w:pStyle w:val="ListParagraph"/>
        <w:widowControl w:val="0"/>
        <w:numPr>
          <w:ilvl w:val="0"/>
          <w:numId w:val="3"/>
        </w:numPr>
        <w:autoSpaceDE w:val="0"/>
        <w:autoSpaceDN w:val="0"/>
        <w:adjustRightInd w:val="0"/>
        <w:ind w:left="0" w:firstLine="0"/>
        <w:jc w:val="both"/>
        <w:rPr>
          <w:rFonts w:asciiTheme="majorHAnsi" w:hAnsiTheme="majorHAnsi" w:cs="Times"/>
          <w:b/>
        </w:rPr>
      </w:pPr>
      <w:r w:rsidRPr="00047760">
        <w:rPr>
          <w:rFonts w:asciiTheme="majorHAnsi" w:hAnsiTheme="majorHAnsi" w:cs="Cambria"/>
          <w:b/>
        </w:rPr>
        <w:t xml:space="preserve">1.3: Promote Peer-to-Peer Disaster Risk Reduction resources broadly. </w:t>
      </w:r>
    </w:p>
    <w:p w14:paraId="64A2AB7E" w14:textId="77777777" w:rsidR="00047760" w:rsidRPr="00047760" w:rsidRDefault="00047760" w:rsidP="00047760">
      <w:pPr>
        <w:pStyle w:val="ListParagraph"/>
        <w:rPr>
          <w:rFonts w:asciiTheme="majorHAnsi" w:hAnsiTheme="majorHAnsi" w:cs="Calibri"/>
        </w:rPr>
      </w:pPr>
    </w:p>
    <w:p w14:paraId="415AF357" w14:textId="5813DCCC" w:rsidR="00176C6C" w:rsidRPr="00047760" w:rsidRDefault="00176C6C" w:rsidP="00047760">
      <w:pPr>
        <w:pStyle w:val="ListParagraph"/>
        <w:widowControl w:val="0"/>
        <w:numPr>
          <w:ilvl w:val="0"/>
          <w:numId w:val="3"/>
        </w:numPr>
        <w:autoSpaceDE w:val="0"/>
        <w:autoSpaceDN w:val="0"/>
        <w:adjustRightInd w:val="0"/>
        <w:ind w:left="0" w:firstLine="0"/>
        <w:jc w:val="both"/>
        <w:rPr>
          <w:rFonts w:asciiTheme="majorHAnsi" w:hAnsiTheme="majorHAnsi" w:cs="Times"/>
        </w:rPr>
      </w:pPr>
      <w:r w:rsidRPr="00047760">
        <w:rPr>
          <w:rFonts w:asciiTheme="majorHAnsi" w:hAnsiTheme="majorHAnsi" w:cs="Calibri"/>
        </w:rPr>
        <w:t>Enhance existing communication tools (e.g., NHMA’s RNN website) and explore additional opportunities (e.g., LinkedIn group, Twitter, Facebook pages) to promote and increase resiliency resources and materials available to the public and practitioners. This also stimulates peer-to-peer interactions both within the network and throughout the larger professional domain of resiliency experts. Seek additional network opportunities such as trainings and conferences for RNN presentations, trainings, and meetings.</w:t>
      </w:r>
    </w:p>
    <w:p w14:paraId="22208F5E" w14:textId="223DB6DB" w:rsidR="00047760" w:rsidRDefault="00047760" w:rsidP="00047760">
      <w:pPr>
        <w:widowControl w:val="0"/>
        <w:autoSpaceDE w:val="0"/>
        <w:autoSpaceDN w:val="0"/>
        <w:adjustRightInd w:val="0"/>
        <w:jc w:val="both"/>
        <w:rPr>
          <w:rFonts w:asciiTheme="majorHAnsi" w:hAnsiTheme="majorHAnsi" w:cs="Times"/>
        </w:rPr>
      </w:pPr>
    </w:p>
    <w:p w14:paraId="349CC3EE" w14:textId="77777777" w:rsidR="00047760" w:rsidRPr="00047760" w:rsidRDefault="00047760" w:rsidP="00047760">
      <w:pPr>
        <w:widowControl w:val="0"/>
        <w:autoSpaceDE w:val="0"/>
        <w:autoSpaceDN w:val="0"/>
        <w:adjustRightInd w:val="0"/>
        <w:jc w:val="both"/>
        <w:rPr>
          <w:rFonts w:asciiTheme="majorHAnsi" w:hAnsiTheme="majorHAnsi" w:cs="Times"/>
        </w:rPr>
      </w:pPr>
      <w:bookmarkStart w:id="0" w:name="_GoBack"/>
      <w:bookmarkEnd w:id="0"/>
    </w:p>
    <w:p w14:paraId="5629B851" w14:textId="77777777" w:rsidR="00047760" w:rsidRPr="00047760" w:rsidRDefault="00176C6C" w:rsidP="00047760">
      <w:pPr>
        <w:pStyle w:val="ListParagraph"/>
        <w:widowControl w:val="0"/>
        <w:numPr>
          <w:ilvl w:val="0"/>
          <w:numId w:val="3"/>
        </w:numPr>
        <w:autoSpaceDE w:val="0"/>
        <w:autoSpaceDN w:val="0"/>
        <w:adjustRightInd w:val="0"/>
        <w:ind w:left="0" w:firstLine="0"/>
        <w:jc w:val="both"/>
        <w:rPr>
          <w:rFonts w:asciiTheme="majorHAnsi" w:hAnsiTheme="majorHAnsi" w:cs="Times"/>
          <w:b/>
        </w:rPr>
      </w:pPr>
      <w:r w:rsidRPr="00047760">
        <w:rPr>
          <w:rFonts w:asciiTheme="majorHAnsi" w:hAnsiTheme="majorHAnsi" w:cs="Cambria"/>
          <w:b/>
        </w:rPr>
        <w:t xml:space="preserve">1.4: Document lessons learned. </w:t>
      </w:r>
    </w:p>
    <w:p w14:paraId="1990EE12" w14:textId="77777777" w:rsidR="00047760" w:rsidRPr="00047760" w:rsidRDefault="00047760" w:rsidP="00047760">
      <w:pPr>
        <w:pStyle w:val="ListParagraph"/>
        <w:rPr>
          <w:rFonts w:asciiTheme="majorHAnsi" w:hAnsiTheme="majorHAnsi" w:cs="Cambria"/>
        </w:rPr>
      </w:pPr>
    </w:p>
    <w:p w14:paraId="593617C9" w14:textId="06005782" w:rsidR="00176C6C" w:rsidRPr="00047760" w:rsidRDefault="00176C6C" w:rsidP="00047760">
      <w:pPr>
        <w:pStyle w:val="ListParagraph"/>
        <w:widowControl w:val="0"/>
        <w:numPr>
          <w:ilvl w:val="0"/>
          <w:numId w:val="3"/>
        </w:numPr>
        <w:autoSpaceDE w:val="0"/>
        <w:autoSpaceDN w:val="0"/>
        <w:adjustRightInd w:val="0"/>
        <w:ind w:left="0" w:firstLine="0"/>
        <w:jc w:val="both"/>
        <w:rPr>
          <w:rFonts w:asciiTheme="majorHAnsi" w:hAnsiTheme="majorHAnsi" w:cs="Times"/>
        </w:rPr>
      </w:pPr>
      <w:r w:rsidRPr="00047760">
        <w:rPr>
          <w:rFonts w:asciiTheme="majorHAnsi" w:hAnsiTheme="majorHAnsi" w:cs="Cambria"/>
        </w:rPr>
        <w:t xml:space="preserve">Refine Matrix to incorporate Lessons Learned as far as being part of RNN and how to grow and share information about the value of RNN- NHMA for Disaster Risk Reduction. </w:t>
      </w:r>
    </w:p>
    <w:p w14:paraId="5E28FD3D" w14:textId="77777777" w:rsidR="00176C6C" w:rsidRPr="00047760" w:rsidRDefault="00176C6C" w:rsidP="00047760">
      <w:pPr>
        <w:widowControl w:val="0"/>
        <w:numPr>
          <w:ilvl w:val="0"/>
          <w:numId w:val="3"/>
        </w:numPr>
        <w:tabs>
          <w:tab w:val="left" w:pos="220"/>
          <w:tab w:val="left" w:pos="720"/>
        </w:tabs>
        <w:autoSpaceDE w:val="0"/>
        <w:autoSpaceDN w:val="0"/>
        <w:adjustRightInd w:val="0"/>
        <w:ind w:left="0" w:firstLine="0"/>
        <w:jc w:val="both"/>
        <w:rPr>
          <w:rFonts w:asciiTheme="majorHAnsi" w:hAnsiTheme="majorHAnsi" w:cs="Times"/>
        </w:rPr>
      </w:pPr>
    </w:p>
    <w:p w14:paraId="39CB3E77" w14:textId="77777777" w:rsidR="0022708D" w:rsidRPr="00047760" w:rsidRDefault="0022708D" w:rsidP="00047760">
      <w:pPr>
        <w:jc w:val="both"/>
        <w:rPr>
          <w:rFonts w:asciiTheme="majorHAnsi" w:hAnsiTheme="majorHAnsi"/>
        </w:rPr>
      </w:pPr>
    </w:p>
    <w:sectPr w:rsidR="0022708D" w:rsidRPr="00047760" w:rsidSect="00047760">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164"/>
    <w:rsid w:val="00032E78"/>
    <w:rsid w:val="00047760"/>
    <w:rsid w:val="00176C6C"/>
    <w:rsid w:val="0022708D"/>
    <w:rsid w:val="006F5164"/>
    <w:rsid w:val="0084272D"/>
    <w:rsid w:val="00C56DAF"/>
    <w:rsid w:val="00EF4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E9FE9"/>
  <w14:defaultImageDpi w14:val="300"/>
  <w15:docId w15:val="{40F552FF-8E91-4F02-A148-51458754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24E06-BC0D-4536-B088-99218210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Farm Hugger</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Skakel</dc:creator>
  <cp:lastModifiedBy>Rebecca Joyce</cp:lastModifiedBy>
  <cp:revision>3</cp:revision>
  <dcterms:created xsi:type="dcterms:W3CDTF">2017-07-30T21:31:00Z</dcterms:created>
  <dcterms:modified xsi:type="dcterms:W3CDTF">2017-07-30T21:38:00Z</dcterms:modified>
</cp:coreProperties>
</file>